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Verve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92539P101</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76"/>
        <w:gridCol w:w="8229"/>
      </w:tblGrid>
      <w:tr>
        <w:trPr/>
        <w:tc>
          <w:tcPr>
            <w:tcW w:w="1976" w:type="dxa"/>
            <w:tcBorders/>
            <w:vAlign w:val="center"/>
          </w:tcPr>
          <w:p>
            <w:pPr>
              <w:pStyle w:val="TableContents"/>
              <w:bidi w:val="0"/>
              <w:spacing w:before="0" w:after="283"/>
              <w:jc w:val="left"/>
              <w:rPr/>
            </w:pPr>
            <w:r>
              <w:rPr/>
              <w:t>1</w:t>
            </w:r>
          </w:p>
        </w:tc>
        <w:tc>
          <w:tcPr>
            <w:tcW w:w="822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1976" w:type="dxa"/>
            <w:tcBorders/>
            <w:vAlign w:val="center"/>
          </w:tcPr>
          <w:p>
            <w:pPr>
              <w:pStyle w:val="TableContents"/>
              <w:bidi w:val="0"/>
              <w:spacing w:before="0" w:after="283"/>
              <w:jc w:val="left"/>
              <w:rPr/>
            </w:pPr>
            <w:r>
              <w:rPr/>
              <w:t>2</w:t>
            </w:r>
          </w:p>
        </w:tc>
        <w:tc>
          <w:tcPr>
            <w:tcW w:w="822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76" w:type="dxa"/>
            <w:tcBorders/>
            <w:vAlign w:val="center"/>
          </w:tcPr>
          <w:p>
            <w:pPr>
              <w:pStyle w:val="TableContents"/>
              <w:bidi w:val="0"/>
              <w:spacing w:before="0" w:after="283"/>
              <w:jc w:val="left"/>
              <w:rPr/>
            </w:pPr>
            <w:r>
              <w:rPr/>
              <w:t>3</w:t>
            </w:r>
          </w:p>
        </w:tc>
        <w:tc>
          <w:tcPr>
            <w:tcW w:w="8229" w:type="dxa"/>
            <w:tcBorders/>
            <w:vAlign w:val="center"/>
          </w:tcPr>
          <w:p>
            <w:pPr>
              <w:pStyle w:val="TableContents"/>
              <w:bidi w:val="0"/>
              <w:spacing w:before="0" w:after="283"/>
              <w:jc w:val="left"/>
              <w:rPr/>
            </w:pPr>
            <w:r>
              <w:rPr/>
              <w:t>Sec Use Only</w:t>
            </w:r>
          </w:p>
        </w:tc>
      </w:tr>
      <w:tr>
        <w:trPr/>
        <w:tc>
          <w:tcPr>
            <w:tcW w:w="1976" w:type="dxa"/>
            <w:tcBorders/>
            <w:vAlign w:val="center"/>
          </w:tcPr>
          <w:p>
            <w:pPr>
              <w:pStyle w:val="TableContents"/>
              <w:bidi w:val="0"/>
              <w:spacing w:before="0" w:after="283"/>
              <w:jc w:val="left"/>
              <w:rPr/>
            </w:pPr>
            <w:r>
              <w:rPr/>
              <w:t>4</w:t>
            </w:r>
          </w:p>
        </w:tc>
        <w:tc>
          <w:tcPr>
            <w:tcW w:w="822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7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29"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pPr>
            <w:r>
              <w:rPr/>
              <w:t>9</w:t>
            </w:r>
          </w:p>
        </w:tc>
        <w:tc>
          <w:tcPr>
            <w:tcW w:w="822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76" w:type="dxa"/>
            <w:tcBorders/>
            <w:vAlign w:val="center"/>
          </w:tcPr>
          <w:p>
            <w:pPr>
              <w:pStyle w:val="TableContents"/>
              <w:bidi w:val="0"/>
              <w:spacing w:before="0" w:after="283"/>
              <w:jc w:val="left"/>
              <w:rPr/>
            </w:pPr>
            <w:r>
              <w:rPr/>
              <w:t>10</w:t>
            </w:r>
          </w:p>
        </w:tc>
        <w:tc>
          <w:tcPr>
            <w:tcW w:w="822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76" w:type="dxa"/>
            <w:tcBorders/>
            <w:vAlign w:val="center"/>
          </w:tcPr>
          <w:p>
            <w:pPr>
              <w:pStyle w:val="TableContents"/>
              <w:bidi w:val="0"/>
              <w:spacing w:before="0" w:after="283"/>
              <w:jc w:val="left"/>
              <w:rPr/>
            </w:pPr>
            <w:r>
              <w:rPr/>
              <w:t>11</w:t>
            </w:r>
          </w:p>
        </w:tc>
        <w:tc>
          <w:tcPr>
            <w:tcW w:w="822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76" w:type="dxa"/>
            <w:tcBorders/>
            <w:vAlign w:val="center"/>
          </w:tcPr>
          <w:p>
            <w:pPr>
              <w:pStyle w:val="TableContents"/>
              <w:bidi w:val="0"/>
              <w:spacing w:before="0" w:after="283"/>
              <w:jc w:val="left"/>
              <w:rPr/>
            </w:pPr>
            <w:r>
              <w:rPr/>
              <w:t>12</w:t>
            </w:r>
          </w:p>
        </w:tc>
        <w:tc>
          <w:tcPr>
            <w:tcW w:w="822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76"/>
        <w:gridCol w:w="8229"/>
      </w:tblGrid>
      <w:tr>
        <w:trPr/>
        <w:tc>
          <w:tcPr>
            <w:tcW w:w="1976" w:type="dxa"/>
            <w:tcBorders/>
            <w:vAlign w:val="center"/>
          </w:tcPr>
          <w:p>
            <w:pPr>
              <w:pStyle w:val="TableContents"/>
              <w:bidi w:val="0"/>
              <w:spacing w:before="0" w:after="283"/>
              <w:jc w:val="left"/>
              <w:rPr/>
            </w:pPr>
            <w:r>
              <w:rPr/>
              <w:t>1</w:t>
            </w:r>
          </w:p>
        </w:tc>
        <w:tc>
          <w:tcPr>
            <w:tcW w:w="822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1976" w:type="dxa"/>
            <w:tcBorders/>
            <w:vAlign w:val="center"/>
          </w:tcPr>
          <w:p>
            <w:pPr>
              <w:pStyle w:val="TableContents"/>
              <w:bidi w:val="0"/>
              <w:spacing w:before="0" w:after="283"/>
              <w:jc w:val="left"/>
              <w:rPr/>
            </w:pPr>
            <w:r>
              <w:rPr/>
              <w:t>2</w:t>
            </w:r>
          </w:p>
        </w:tc>
        <w:tc>
          <w:tcPr>
            <w:tcW w:w="822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76" w:type="dxa"/>
            <w:tcBorders/>
            <w:vAlign w:val="center"/>
          </w:tcPr>
          <w:p>
            <w:pPr>
              <w:pStyle w:val="TableContents"/>
              <w:bidi w:val="0"/>
              <w:spacing w:before="0" w:after="283"/>
              <w:jc w:val="left"/>
              <w:rPr/>
            </w:pPr>
            <w:r>
              <w:rPr/>
              <w:t>3</w:t>
            </w:r>
          </w:p>
        </w:tc>
        <w:tc>
          <w:tcPr>
            <w:tcW w:w="8229" w:type="dxa"/>
            <w:tcBorders/>
            <w:vAlign w:val="center"/>
          </w:tcPr>
          <w:p>
            <w:pPr>
              <w:pStyle w:val="TableContents"/>
              <w:bidi w:val="0"/>
              <w:spacing w:before="0" w:after="283"/>
              <w:jc w:val="left"/>
              <w:rPr/>
            </w:pPr>
            <w:r>
              <w:rPr/>
              <w:t>Sec Use Only</w:t>
            </w:r>
          </w:p>
        </w:tc>
      </w:tr>
      <w:tr>
        <w:trPr/>
        <w:tc>
          <w:tcPr>
            <w:tcW w:w="1976" w:type="dxa"/>
            <w:tcBorders/>
            <w:vAlign w:val="center"/>
          </w:tcPr>
          <w:p>
            <w:pPr>
              <w:pStyle w:val="TableContents"/>
              <w:bidi w:val="0"/>
              <w:spacing w:before="0" w:after="283"/>
              <w:jc w:val="left"/>
              <w:rPr/>
            </w:pPr>
            <w:r>
              <w:rPr/>
              <w:t>4</w:t>
            </w:r>
          </w:p>
        </w:tc>
        <w:tc>
          <w:tcPr>
            <w:tcW w:w="822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7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29"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center"/>
          </w:tcPr>
          <w:p>
            <w:pPr>
              <w:pStyle w:val="TableContents"/>
              <w:bidi w:val="0"/>
              <w:spacing w:before="0" w:after="283"/>
              <w:jc w:val="left"/>
              <w:rPr/>
            </w:pPr>
            <w:r>
              <w:rPr/>
              <w:t>9</w:t>
            </w:r>
          </w:p>
        </w:tc>
        <w:tc>
          <w:tcPr>
            <w:tcW w:w="822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76" w:type="dxa"/>
            <w:tcBorders/>
            <w:vAlign w:val="center"/>
          </w:tcPr>
          <w:p>
            <w:pPr>
              <w:pStyle w:val="TableContents"/>
              <w:bidi w:val="0"/>
              <w:spacing w:before="0" w:after="283"/>
              <w:jc w:val="left"/>
              <w:rPr/>
            </w:pPr>
            <w:r>
              <w:rPr/>
              <w:t>10</w:t>
            </w:r>
          </w:p>
        </w:tc>
        <w:tc>
          <w:tcPr>
            <w:tcW w:w="822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76" w:type="dxa"/>
            <w:tcBorders/>
            <w:vAlign w:val="center"/>
          </w:tcPr>
          <w:p>
            <w:pPr>
              <w:pStyle w:val="TableContents"/>
              <w:bidi w:val="0"/>
              <w:spacing w:before="0" w:after="283"/>
              <w:jc w:val="left"/>
              <w:rPr/>
            </w:pPr>
            <w:r>
              <w:rPr/>
              <w:t>11</w:t>
            </w:r>
          </w:p>
        </w:tc>
        <w:tc>
          <w:tcPr>
            <w:tcW w:w="822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76" w:type="dxa"/>
            <w:tcBorders/>
            <w:vAlign w:val="center"/>
          </w:tcPr>
          <w:p>
            <w:pPr>
              <w:pStyle w:val="TableContents"/>
              <w:bidi w:val="0"/>
              <w:spacing w:before="0" w:after="283"/>
              <w:jc w:val="left"/>
              <w:rPr/>
            </w:pPr>
            <w:r>
              <w:rPr/>
              <w:t>12</w:t>
            </w:r>
          </w:p>
        </w:tc>
        <w:tc>
          <w:tcPr>
            <w:tcW w:w="822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92539P101</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Verve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Avenue, Suite 601, Boston, Massachusetts 02215</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jc w:val="left"/>
              <w:rPr/>
            </w:pPr>
            <w:r>
              <w:rPr/>
              <w:t xml:space="preserve">CUSIP No.: </w:t>
            </w:r>
          </w:p>
          <w:p>
            <w:pPr>
              <w:pStyle w:val="TableContents"/>
              <w:bidi w:val="0"/>
              <w:spacing w:before="0" w:after="0"/>
              <w:jc w:val="left"/>
              <w:rPr/>
            </w:pPr>
            <w:r>
              <w:rPr/>
              <w:t>92539P101</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2025, the Reporting Persons no longer beneficially owned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the close of business on June 30, 2025, the Reporting Persons no longer beneficially owned any securities of the Issuer.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November 18, 2024.</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2298</Words>
  <Characters>11582</Characters>
  <CharactersWithSpaces>13682</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