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656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566535"/>
                    </a:xfrm>
                    <a:prstGeom prst="rect">
                      <a:avLst/>
                    </a:prstGeom>
                    <a:noFill/>
                  </pic:spPr>
                </pic:pic>
              </a:graphicData>
            </a:graphic>
          </wp:anchor>
        </w:drawing>
      </w:r>
    </w:p>
    <w:p>
      <w:pPr>
        <w:spacing w:after="0" w:line="1208" w:lineRule="exact"/>
        <w:rPr>
          <w:sz w:val="24"/>
          <w:szCs w:val="24"/>
          <w:color w:val="auto"/>
        </w:rPr>
      </w:pPr>
    </w:p>
    <w:p>
      <w:pPr>
        <w:sectPr>
          <w:pgSz w:w="11900" w:h="16919"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Dorval Allison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VERVE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AVENUE, SUITE 601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Verve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VERV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07/25/2025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6" w:lineRule="exact"/>
        <w:rPr>
          <w:sz w:val="24"/>
          <w:szCs w:val="24"/>
          <w:color w:val="auto"/>
        </w:rPr>
      </w:pPr>
    </w:p>
    <w:p>
      <w:pPr>
        <w:sectPr>
          <w:pgSz w:w="11900" w:h="16919"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jc w:val="center"/>
              <w:ind w:right="40"/>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4"/>
              <w:spacing w:after="0"/>
              <w:rPr>
                <w:sz w:val="20"/>
                <w:szCs w:val="20"/>
                <w:color w:val="auto"/>
              </w:rPr>
            </w:pPr>
            <w:r>
              <w:rPr>
                <w:rFonts w:ascii="Times New Roman" w:cs="Times New Roman" w:eastAsia="Times New Roman" w:hAnsi="Times New Roman"/>
                <w:sz w:val="17"/>
                <w:szCs w:val="17"/>
                <w:color w:val="0000FF"/>
                <w:w w:val="98"/>
              </w:rPr>
              <w:t>07/25/2025</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8"/>
              </w:rPr>
              <w:t>13,280</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6.01</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258,000</w:t>
            </w:r>
          </w:p>
        </w:tc>
        <w:tc>
          <w:tcPr>
            <w:tcW w:w="780" w:type="dxa"/>
            <w:vAlign w:val="bottom"/>
            <w:gridSpan w:val="2"/>
          </w:tcPr>
          <w:p>
            <w:pPr>
              <w:jc w:val="center"/>
              <w:ind w:right="4"/>
              <w:spacing w:after="0"/>
              <w:rPr>
                <w:sz w:val="20"/>
                <w:szCs w:val="20"/>
                <w:color w:val="auto"/>
              </w:rPr>
            </w:pPr>
            <w:r>
              <w:rPr>
                <w:rFonts w:ascii="Times New Roman" w:cs="Times New Roman" w:eastAsia="Times New Roman" w:hAnsi="Times New Roman"/>
                <w:sz w:val="11"/>
                <w:szCs w:val="11"/>
                <w:color w:val="008000"/>
                <w:w w:val="93"/>
              </w:rPr>
              <w:t>(3)</w:t>
            </w:r>
          </w:p>
        </w:tc>
        <w:tc>
          <w:tcPr>
            <w:tcW w:w="180" w:type="dxa"/>
            <w:vAlign w:val="bottom"/>
          </w:tcPr>
          <w:p>
            <w:pPr>
              <w:spacing w:after="0"/>
              <w:rPr>
                <w:sz w:val="17"/>
                <w:szCs w:val="17"/>
                <w:color w:val="auto"/>
              </w:rPr>
            </w:pPr>
          </w:p>
        </w:tc>
        <w:tc>
          <w:tcPr>
            <w:tcW w:w="500" w:type="dxa"/>
            <w:vAlign w:val="bottom"/>
          </w:tcPr>
          <w:p>
            <w:pPr>
              <w:jc w:val="center"/>
              <w:ind w:right="163"/>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7"/>
              </w:rPr>
              <w:t>258,000</w:t>
            </w:r>
          </w:p>
        </w:tc>
        <w:tc>
          <w:tcPr>
            <w:tcW w:w="40" w:type="dxa"/>
            <w:vAlign w:val="bottom"/>
          </w:tcPr>
          <w:p>
            <w:pPr>
              <w:spacing w:after="0"/>
              <w:rPr>
                <w:sz w:val="17"/>
                <w:szCs w:val="17"/>
                <w:color w:val="auto"/>
              </w:rPr>
            </w:pPr>
          </w:p>
        </w:tc>
        <w:tc>
          <w:tcPr>
            <w:tcW w:w="700" w:type="dxa"/>
            <w:vAlign w:val="bottom"/>
            <w:gridSpan w:val="2"/>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2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6.01</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center"/>
              <w:ind w:right="436"/>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ind w:left="241"/>
              <w:spacing w:after="0"/>
              <w:rPr>
                <w:sz w:val="20"/>
                <w:szCs w:val="20"/>
                <w:color w:val="auto"/>
              </w:rPr>
            </w:pPr>
            <w:r>
              <w:rPr>
                <w:rFonts w:ascii="Times New Roman" w:cs="Times New Roman" w:eastAsia="Times New Roman" w:hAnsi="Times New Roman"/>
                <w:sz w:val="13"/>
                <w:szCs w:val="13"/>
                <w:color w:val="0000FF"/>
                <w:w w:val="94"/>
              </w:rPr>
              <w:t>75,000</w:t>
            </w:r>
          </w:p>
        </w:tc>
        <w:tc>
          <w:tcPr>
            <w:tcW w:w="7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(3)</w:t>
            </w:r>
          </w:p>
        </w:tc>
        <w:tc>
          <w:tcPr>
            <w:tcW w:w="180" w:type="dxa"/>
            <w:vAlign w:val="bottom"/>
          </w:tcPr>
          <w:p>
            <w:pPr>
              <w:spacing w:after="0"/>
              <w:rPr>
                <w:sz w:val="12"/>
                <w:szCs w:val="12"/>
                <w:color w:val="auto"/>
              </w:rPr>
            </w:pPr>
          </w:p>
        </w:tc>
        <w:tc>
          <w:tcPr>
            <w:tcW w:w="500" w:type="dxa"/>
            <w:vAlign w:val="bottom"/>
            <w:vMerge w:val="restart"/>
          </w:tcPr>
          <w:p>
            <w:pPr>
              <w:jc w:val="center"/>
              <w:ind w:right="163"/>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75,000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(4)</w:t>
            </w:r>
          </w:p>
        </w:tc>
        <w:tc>
          <w:tcPr>
            <w:tcW w:w="180" w:type="dxa"/>
            <w:vAlign w:val="bottom"/>
          </w:tcPr>
          <w:p>
            <w:pPr>
              <w:spacing w:after="0"/>
              <w:rPr>
                <w:sz w:val="15"/>
                <w:szCs w:val="15"/>
                <w:color w:val="auto"/>
              </w:rPr>
            </w:pPr>
          </w:p>
        </w:tc>
        <w:tc>
          <w:tcPr>
            <w:tcW w:w="500" w:type="dxa"/>
            <w:vAlign w:val="bottom"/>
            <w:vMerge w:val="restart"/>
          </w:tcPr>
          <w:p>
            <w:pPr>
              <w:jc w:val="center"/>
              <w:ind w:right="163"/>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45,000</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45,000</w:t>
            </w: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(4)</w:t>
            </w:r>
          </w:p>
        </w:tc>
        <w:tc>
          <w:tcPr>
            <w:tcW w:w="180" w:type="dxa"/>
            <w:vAlign w:val="bottom"/>
          </w:tcPr>
          <w:p>
            <w:pPr>
              <w:spacing w:after="0"/>
              <w:rPr>
                <w:sz w:val="15"/>
                <w:szCs w:val="15"/>
                <w:color w:val="auto"/>
              </w:rPr>
            </w:pPr>
          </w:p>
        </w:tc>
        <w:tc>
          <w:tcPr>
            <w:tcW w:w="500" w:type="dxa"/>
            <w:vAlign w:val="bottom"/>
            <w:vMerge w:val="restart"/>
          </w:tcPr>
          <w:p>
            <w:pPr>
              <w:jc w:val="center"/>
              <w:ind w:right="163"/>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33,750</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33,750</w:t>
            </w: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(4)</w:t>
            </w:r>
          </w:p>
        </w:tc>
        <w:tc>
          <w:tcPr>
            <w:tcW w:w="180" w:type="dxa"/>
            <w:vAlign w:val="bottom"/>
          </w:tcPr>
          <w:p>
            <w:pPr>
              <w:spacing w:after="0"/>
              <w:rPr>
                <w:sz w:val="15"/>
                <w:szCs w:val="15"/>
                <w:color w:val="auto"/>
              </w:rPr>
            </w:pPr>
          </w:p>
        </w:tc>
        <w:tc>
          <w:tcPr>
            <w:tcW w:w="500" w:type="dxa"/>
            <w:vAlign w:val="bottom"/>
            <w:vMerge w:val="restart"/>
          </w:tcPr>
          <w:p>
            <w:pPr>
              <w:jc w:val="center"/>
              <w:ind w:right="163"/>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1,875</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ind w:left="261"/>
              <w:spacing w:after="0" w:line="140" w:lineRule="exact"/>
              <w:rPr>
                <w:sz w:val="20"/>
                <w:szCs w:val="20"/>
                <w:color w:val="auto"/>
              </w:rPr>
            </w:pPr>
            <w:r>
              <w:rPr>
                <w:rFonts w:ascii="Times New Roman" w:cs="Times New Roman" w:eastAsia="Times New Roman" w:hAnsi="Times New Roman"/>
                <w:sz w:val="13"/>
                <w:szCs w:val="13"/>
                <w:color w:val="0000FF"/>
                <w:w w:val="95"/>
              </w:rPr>
              <w:t>1,875</w:t>
            </w: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12.75</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180,000</w:t>
            </w:r>
          </w:p>
        </w:tc>
        <w:tc>
          <w:tcPr>
            <w:tcW w:w="780" w:type="dxa"/>
            <w:vAlign w:val="bottom"/>
            <w:gridSpan w:val="2"/>
          </w:tcPr>
          <w:p>
            <w:pPr>
              <w:jc w:val="center"/>
              <w:ind w:right="4"/>
              <w:spacing w:after="0"/>
              <w:rPr>
                <w:sz w:val="20"/>
                <w:szCs w:val="20"/>
                <w:color w:val="auto"/>
              </w:rPr>
            </w:pPr>
            <w:r>
              <w:rPr>
                <w:rFonts w:ascii="Times New Roman" w:cs="Times New Roman" w:eastAsia="Times New Roman" w:hAnsi="Times New Roman"/>
                <w:sz w:val="11"/>
                <w:szCs w:val="11"/>
                <w:color w:val="008000"/>
                <w:w w:val="93"/>
              </w:rPr>
              <w:t>(5)(6)</w:t>
            </w:r>
          </w:p>
        </w:tc>
        <w:tc>
          <w:tcPr>
            <w:tcW w:w="180" w:type="dxa"/>
            <w:vAlign w:val="bottom"/>
          </w:tcPr>
          <w:p>
            <w:pPr>
              <w:spacing w:after="0"/>
              <w:rPr>
                <w:sz w:val="17"/>
                <w:szCs w:val="17"/>
                <w:color w:val="auto"/>
              </w:rPr>
            </w:pPr>
          </w:p>
        </w:tc>
        <w:tc>
          <w:tcPr>
            <w:tcW w:w="500" w:type="dxa"/>
            <w:vAlign w:val="bottom"/>
          </w:tcPr>
          <w:p>
            <w:pPr>
              <w:jc w:val="center"/>
              <w:ind w:right="163"/>
              <w:spacing w:after="0"/>
              <w:rPr>
                <w:sz w:val="20"/>
                <w:szCs w:val="20"/>
                <w:color w:val="auto"/>
              </w:rPr>
            </w:pPr>
            <w:r>
              <w:rPr>
                <w:rFonts w:ascii="Times New Roman" w:cs="Times New Roman" w:eastAsia="Times New Roman" w:hAnsi="Times New Roman"/>
                <w:sz w:val="11"/>
                <w:szCs w:val="11"/>
                <w:color w:val="008000"/>
                <w:w w:val="93"/>
              </w:rPr>
              <w:t>(5)(6)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7"/>
              </w:rPr>
              <w:t>180,000</w:t>
            </w:r>
          </w:p>
        </w:tc>
        <w:tc>
          <w:tcPr>
            <w:tcW w:w="40" w:type="dxa"/>
            <w:vAlign w:val="bottom"/>
          </w:tcPr>
          <w:p>
            <w:pPr>
              <w:spacing w:after="0"/>
              <w:rPr>
                <w:sz w:val="17"/>
                <w:szCs w:val="17"/>
                <w:color w:val="auto"/>
              </w:rPr>
            </w:pPr>
          </w:p>
        </w:tc>
        <w:tc>
          <w:tcPr>
            <w:tcW w:w="700" w:type="dxa"/>
            <w:vAlign w:val="bottom"/>
            <w:gridSpan w:val="2"/>
          </w:tcPr>
          <w:p>
            <w:pPr>
              <w:jc w:val="center"/>
              <w:ind w:right="41"/>
              <w:spacing w:after="0"/>
              <w:rPr>
                <w:sz w:val="20"/>
                <w:szCs w:val="20"/>
                <w:color w:val="auto"/>
              </w:rPr>
            </w:pPr>
            <w:r>
              <w:rPr>
                <w:rFonts w:ascii="Times New Roman" w:cs="Times New Roman" w:eastAsia="Times New Roman" w:hAnsi="Times New Roman"/>
                <w:sz w:val="11"/>
                <w:szCs w:val="11"/>
                <w:color w:val="008000"/>
                <w:w w:val="93"/>
              </w:rPr>
              <w:t>(5)(6)</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terms of an Agreement and Plan of Merger, dated as of June 16, 2025 (the "Merger Agreement"), by and among the Issuer, Eli Lilly and Company ("Parent") and Parent's indirect wholly owned subsidiary, Ridgeway Acquisition Corporation ("Purchaser"), Purchaser completed a tender offer for shares of the Issuer's Common Stock. In exchange for each share, tendering stockholders received: (i) $10.50 per share in cash, without interest and less any applicable tax withholding (the "Cash Consideration"); plus (ii) one non-tradable contingent value right (each, a "CVR"), which represents the contractual right to receive a contingent payment of up to $3.00 per CVR, net to the stockholder in cash, without interest</w:t>
      </w:r>
    </w:p>
    <w:p>
      <w:pPr>
        <w:spacing w:after="0" w:line="25" w:lineRule="exact"/>
        <w:rPr>
          <w:rFonts w:ascii="Times New Roman" w:cs="Times New Roman" w:eastAsia="Times New Roman" w:hAnsi="Times New Roman"/>
          <w:sz w:val="13"/>
          <w:szCs w:val="13"/>
          <w:color w:val="008000"/>
        </w:rPr>
      </w:pPr>
    </w:p>
    <w:p>
      <w:pPr>
        <w:ind w:left="40" w:right="22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and less any applicable tax withholding, upon the achievement of a certain specified milestone relating to the Issuer's business (the "Milestone Payment"), in accordance with the terms and subject to the conditions of a contingent value rights agreement entered by and among Parent, the Purchaser, and Computershare Inc. and its affiliate, Computershare Trust Company, N.A., as the rights agent. After completion of the tender offer, pursuant to the terms of the Merger Agreement, Purchaser merged with and into the Issuer (the "Merger"), effective as of July 25, 2025, with the Issuer continuing as the surviving entity and a wholly owned subsidiary of Parent (the "Effective Time").</w:t>
      </w:r>
    </w:p>
    <w:p>
      <w:pPr>
        <w:spacing w:after="0" w:line="25" w:lineRule="exact"/>
        <w:rPr>
          <w:rFonts w:ascii="Times New Roman" w:cs="Times New Roman" w:eastAsia="Times New Roman" w:hAnsi="Times New Roman"/>
          <w:sz w:val="13"/>
          <w:szCs w:val="13"/>
          <w:color w:val="008000"/>
        </w:rPr>
      </w:pPr>
    </w:p>
    <w:p>
      <w:pPr>
        <w:ind w:left="40" w:right="200"/>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stock option of Issuer having an exercise price less than the Cash Consideration (each such option, a "Cash-Out Stock Option") that is outstanding immediately prior to the Effective Time, whether or not vested, was automatically cancelled, by virtue of the Merger and without any action on the part of any holder of any Cash-Out Stock Option, and each holder of such Cash-Out Stock Option received (without interest) (i) an amount in cash (less any applicable tax withholdings) equal to the product of (a) the excess, if any, of the Cash Consideration over the applicable exercise price per share underlying such Cash-Out Stock Option multiplied by (b) the total number of shares of the Issuer's Common Stock subject to such Cash-Out Stock Option and (ii) one CVR for each share subject to such Cash-Out Stock Option (without regard to vesting).</w:t>
      </w:r>
    </w:p>
    <w:p>
      <w:pPr>
        <w:spacing w:after="0" w:line="25"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unvested Restricted Stock Unit ("RSU") that is outstanding immediately prior to the Effective Time was automatically cancelled, by virtue of the Merger and without any action on the part of any holder of any RSU, and each such holder of such RSU received (without interest) (x) an amount in cash (less any applicable tax withholdings) equal to the product of the Cash Consideration multiplied by the total number of Shares subject to such RSU and (y) one CVR for each RSU.</w:t>
      </w:r>
    </w:p>
    <w:p>
      <w:pPr>
        <w:spacing w:after="0" w:line="26" w:lineRule="exact"/>
        <w:rPr>
          <w:rFonts w:ascii="Times New Roman" w:cs="Times New Roman" w:eastAsia="Times New Roman" w:hAnsi="Times New Roman"/>
          <w:sz w:val="13"/>
          <w:szCs w:val="13"/>
          <w:color w:val="008000"/>
        </w:rPr>
      </w:pPr>
    </w:p>
    <w:p>
      <w:pPr>
        <w:ind w:left="40" w:right="180"/>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having an exercise price equal to or greater than the Cash Consideration and less than the sum of the Cash Consideration and the Milestone Payment (each such option, a "Closing Date Contingent Option") that is outstanding immediately prior to the Effective Time, whether or not vested, was automatically cancelled, by virtue of the Merger and without any action on the part of any holder of any Closing Date Contingent Option, and each holder of such Closing Date Contingent Option is entitled to receive (without interest) an amount in cash (less any applicable tax withholdings) equal to the product of (i) the total number of shares of the Issuer's Common Stock subject to such Closing Date Contingent Option immediately prior to the Effective Time multiplied by (ii) the cash payment a holder of one CVR would receive, and when such payments are made to the holders of CVRs (without regard to vesting);</w:t>
      </w:r>
    </w:p>
    <w:p>
      <w:pPr>
        <w:sectPr>
          <w:pgSz w:w="11900" w:h="16919" w:orient="portrait"/>
          <w:cols w:equalWidth="0" w:num="1">
            <w:col w:w="11080"/>
          </w:cols>
          <w:pgMar w:left="460" w:top="216" w:right="359" w:bottom="0" w:gutter="0" w:footer="0" w:header="0"/>
          <w:type w:val="continuous"/>
        </w:sectPr>
      </w:pPr>
    </w:p>
    <w:bookmarkStart w:id="1" w:name="page2"/>
    <w:bookmarkEnd w:id="1"/>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5) provided that each such Closing Date Contingent Option shall only receive the excess of the sum of (x) the Cash Consideration plus (y) the Milestone Payment over the applicable exercise price of such Closing Date Contingent Option.</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Andrew Ashe, as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07/28/2025</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in-Fact for Allison Dorval</w:t>
            </w:r>
          </w:p>
        </w:tc>
        <w:tc>
          <w:tcPr>
            <w:tcW w:w="4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40" w:type="dxa"/>
            <w:vAlign w:val="bottom"/>
            <w:tcBorders>
              <w:bottom w:val="single" w:sz="8" w:color="auto"/>
            </w:tcBorders>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34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6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5110" TargetMode="External"/><Relationship Id="rId14" Type="http://schemas.openxmlformats.org/officeDocument/2006/relationships/hyperlink" Target="http://www.sec.gov/cgi-bin/browse-edgar?action=getcompany&amp;CIK=0001840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2025-07-28T16:19:42Z</dcterms:created>
  <dcterms:modified xsi:type="dcterms:W3CDTF">2025-07-28T16:19:42Z</dcterms:modified>
</cp:coreProperties>
</file>